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5F7" w:rsidRPr="00E54AA7" w:rsidRDefault="001D35F7" w:rsidP="001D35F7">
      <w:pPr>
        <w:jc w:val="center"/>
        <w:rPr>
          <w:rFonts w:ascii="Times New Roman" w:hAnsi="Times New Roman" w:cs="Times New Roman"/>
          <w:b/>
          <w:sz w:val="28"/>
          <w:szCs w:val="28"/>
        </w:rPr>
      </w:pPr>
      <w:r w:rsidRPr="00E54AA7">
        <w:rPr>
          <w:rFonts w:ascii="Times New Roman" w:hAnsi="Times New Roman" w:cs="Times New Roman"/>
          <w:b/>
          <w:sz w:val="28"/>
          <w:szCs w:val="28"/>
        </w:rPr>
        <w:t>Le droit du financement des aéronefs</w:t>
      </w:r>
    </w:p>
    <w:p w:rsidR="001D35F7" w:rsidRPr="00766AEA" w:rsidRDefault="001D35F7" w:rsidP="001D35F7">
      <w:pPr>
        <w:jc w:val="center"/>
        <w:rPr>
          <w:rFonts w:ascii="Times New Roman" w:hAnsi="Times New Roman" w:cs="Times New Roman"/>
        </w:rPr>
      </w:pPr>
      <w:r w:rsidRPr="00766AEA">
        <w:rPr>
          <w:rFonts w:ascii="Times New Roman" w:hAnsi="Times New Roman" w:cs="Times New Roman"/>
        </w:rPr>
        <w:t>Bruylant 2017</w:t>
      </w:r>
      <w:bookmarkStart w:id="0" w:name="_GoBack"/>
      <w:bookmarkEnd w:id="0"/>
    </w:p>
    <w:p w:rsidR="001D35F7" w:rsidRDefault="001D35F7" w:rsidP="001D35F7">
      <w:pPr>
        <w:jc w:val="center"/>
        <w:rPr>
          <w:rFonts w:ascii="Times New Roman" w:hAnsi="Times New Roman" w:cs="Times New Roman"/>
          <w:b/>
        </w:rPr>
      </w:pPr>
    </w:p>
    <w:p w:rsidR="00766AEA" w:rsidRDefault="00766AEA" w:rsidP="00076626">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Partie intégrante de </w:t>
      </w:r>
      <w:r w:rsidRPr="001D35F7">
        <w:rPr>
          <w:rFonts w:ascii="Times New Roman" w:hAnsi="Times New Roman" w:cs="Times New Roman"/>
          <w:shd w:val="clear" w:color="auto" w:fill="FFFFFF"/>
        </w:rPr>
        <w:t>la libéralisation du transport aérien opérée</w:t>
      </w:r>
      <w:r w:rsidR="00833E5B">
        <w:rPr>
          <w:rFonts w:ascii="Times New Roman" w:hAnsi="Times New Roman" w:cs="Times New Roman"/>
          <w:shd w:val="clear" w:color="auto" w:fill="FFFFFF"/>
        </w:rPr>
        <w:t xml:space="preserve">, </w:t>
      </w:r>
      <w:r>
        <w:rPr>
          <w:rFonts w:ascii="Times New Roman" w:hAnsi="Times New Roman" w:cs="Times New Roman"/>
          <w:shd w:val="clear" w:color="auto" w:fill="FFFFFF"/>
        </w:rPr>
        <w:t>l</w:t>
      </w:r>
      <w:r w:rsidR="00CC37BB">
        <w:rPr>
          <w:rFonts w:ascii="Times New Roman" w:hAnsi="Times New Roman" w:cs="Times New Roman"/>
          <w:shd w:val="clear" w:color="auto" w:fill="FFFFFF"/>
        </w:rPr>
        <w:t xml:space="preserve">a matière </w:t>
      </w:r>
      <w:r w:rsidRPr="001D35F7">
        <w:rPr>
          <w:rFonts w:ascii="Times New Roman" w:hAnsi="Times New Roman" w:cs="Times New Roman"/>
          <w:shd w:val="clear" w:color="auto" w:fill="FFFFFF"/>
        </w:rPr>
        <w:t>du financement des aéronefs</w:t>
      </w:r>
      <w:r>
        <w:rPr>
          <w:rFonts w:ascii="Times New Roman" w:hAnsi="Times New Roman" w:cs="Times New Roman"/>
          <w:shd w:val="clear" w:color="auto" w:fill="FFFFFF"/>
        </w:rPr>
        <w:t xml:space="preserve"> </w:t>
      </w:r>
      <w:r w:rsidR="00CC37BB">
        <w:rPr>
          <w:rFonts w:ascii="Times New Roman" w:hAnsi="Times New Roman" w:cs="Times New Roman"/>
          <w:shd w:val="clear" w:color="auto" w:fill="FFFFFF"/>
        </w:rPr>
        <w:t>s’est considérablement diversifiée  en recourant à d’autres techniques de mise à disposition que leur simple acquisition. Il en va ainsi  du contrat de location d’appareil</w:t>
      </w:r>
      <w:r w:rsidR="00833E5B">
        <w:rPr>
          <w:rFonts w:ascii="Times New Roman" w:hAnsi="Times New Roman" w:cs="Times New Roman"/>
          <w:shd w:val="clear" w:color="auto" w:fill="FFFFFF"/>
        </w:rPr>
        <w:t> qui représentait 5% des aéronefs commerciaux exploités au début des années 80 contre vraisemblablement 50% dans dix ans</w:t>
      </w:r>
      <w:r w:rsidR="00CC37BB">
        <w:rPr>
          <w:rFonts w:ascii="Times New Roman" w:hAnsi="Times New Roman" w:cs="Times New Roman"/>
          <w:shd w:val="clear" w:color="auto" w:fill="FFFFFF"/>
        </w:rPr>
        <w:t xml:space="preserve">. Afin de rendre compte de la richesse et de la variété des questions abordées, cet ouvrage </w:t>
      </w:r>
      <w:r w:rsidR="00833E5B">
        <w:rPr>
          <w:rFonts w:ascii="Times New Roman" w:hAnsi="Times New Roman" w:cs="Times New Roman"/>
          <w:shd w:val="clear" w:color="auto" w:fill="FFFFFF"/>
        </w:rPr>
        <w:t xml:space="preserve">transverse </w:t>
      </w:r>
      <w:r w:rsidR="00CC37BB">
        <w:rPr>
          <w:rFonts w:ascii="Times New Roman" w:hAnsi="Times New Roman" w:cs="Times New Roman"/>
          <w:shd w:val="clear" w:color="auto" w:fill="FFFFFF"/>
        </w:rPr>
        <w:t xml:space="preserve">réalisé sous la coordination de </w:t>
      </w:r>
      <w:r w:rsidR="00CC37BB" w:rsidRPr="00766AEA">
        <w:rPr>
          <w:rFonts w:ascii="Times New Roman" w:hAnsi="Times New Roman" w:cs="Times New Roman"/>
          <w:shd w:val="clear" w:color="auto" w:fill="FFFFFF"/>
        </w:rPr>
        <w:t>Vinçent Correia e</w:t>
      </w:r>
      <w:r w:rsidR="00CC37BB">
        <w:rPr>
          <w:rFonts w:ascii="Times New Roman" w:hAnsi="Times New Roman" w:cs="Times New Roman"/>
          <w:shd w:val="clear" w:color="auto" w:fill="FFFFFF"/>
        </w:rPr>
        <w:t xml:space="preserve">t </w:t>
      </w:r>
      <w:r w:rsidR="00CC37BB" w:rsidRPr="00766AEA">
        <w:rPr>
          <w:rFonts w:ascii="Times New Roman" w:hAnsi="Times New Roman" w:cs="Times New Roman"/>
          <w:shd w:val="clear" w:color="auto" w:fill="FFFFFF"/>
        </w:rPr>
        <w:t>Cyril-Igor Grigorieff</w:t>
      </w:r>
      <w:r w:rsidR="00CC37BB">
        <w:rPr>
          <w:rFonts w:ascii="Times New Roman" w:hAnsi="Times New Roman" w:cs="Times New Roman"/>
          <w:shd w:val="clear" w:color="auto" w:fill="FFFFFF"/>
        </w:rPr>
        <w:t xml:space="preserve"> et préfacée par Gilbert Guillaume s’articule  autour de cinq thématiques</w:t>
      </w:r>
      <w:r w:rsidR="00833E5B">
        <w:rPr>
          <w:rFonts w:ascii="Times New Roman" w:hAnsi="Times New Roman" w:cs="Times New Roman"/>
          <w:shd w:val="clear" w:color="auto" w:fill="FFFFFF"/>
        </w:rPr>
        <w:t xml:space="preserve"> - </w:t>
      </w:r>
      <w:r w:rsidR="001D35F7">
        <w:rPr>
          <w:rFonts w:ascii="Times New Roman" w:hAnsi="Times New Roman" w:cs="Times New Roman"/>
          <w:shd w:val="clear" w:color="auto" w:fill="FFFFFF"/>
        </w:rPr>
        <w:t xml:space="preserve">techniques contractuelles ; </w:t>
      </w:r>
      <w:r w:rsidR="00CC37BB">
        <w:rPr>
          <w:rFonts w:ascii="Times New Roman" w:hAnsi="Times New Roman" w:cs="Times New Roman"/>
          <w:shd w:val="clear" w:color="auto" w:fill="FFFFFF"/>
        </w:rPr>
        <w:t xml:space="preserve"> </w:t>
      </w:r>
      <w:r w:rsidR="001D35F7">
        <w:rPr>
          <w:rFonts w:ascii="Times New Roman" w:hAnsi="Times New Roman" w:cs="Times New Roman"/>
          <w:shd w:val="clear" w:color="auto" w:fill="FFFFFF"/>
        </w:rPr>
        <w:t>techniques de fina</w:t>
      </w:r>
      <w:r w:rsidR="00C50D9D">
        <w:rPr>
          <w:rFonts w:ascii="Times New Roman" w:hAnsi="Times New Roman" w:cs="Times New Roman"/>
          <w:shd w:val="clear" w:color="auto" w:fill="FFFFFF"/>
        </w:rPr>
        <w:t>n</w:t>
      </w:r>
      <w:r w:rsidR="001D35F7">
        <w:rPr>
          <w:rFonts w:ascii="Times New Roman" w:hAnsi="Times New Roman" w:cs="Times New Roman"/>
          <w:shd w:val="clear" w:color="auto" w:fill="FFFFFF"/>
        </w:rPr>
        <w:t>cement ; garanties et privilèges</w:t>
      </w:r>
      <w:r w:rsidR="00833E5B">
        <w:rPr>
          <w:rFonts w:ascii="Times New Roman" w:hAnsi="Times New Roman" w:cs="Times New Roman"/>
          <w:shd w:val="clear" w:color="auto" w:fill="FFFFFF"/>
        </w:rPr>
        <w:t xml:space="preserve"> ; </w:t>
      </w:r>
      <w:r w:rsidR="001D35F7">
        <w:rPr>
          <w:rFonts w:ascii="Times New Roman" w:hAnsi="Times New Roman" w:cs="Times New Roman"/>
          <w:shd w:val="clear" w:color="auto" w:fill="FFFFFF"/>
        </w:rPr>
        <w:t>environnement règlementaire ; contentieux</w:t>
      </w:r>
      <w:r w:rsidR="00833E5B">
        <w:rPr>
          <w:rFonts w:ascii="Times New Roman" w:hAnsi="Times New Roman" w:cs="Times New Roman"/>
          <w:shd w:val="clear" w:color="auto" w:fill="FFFFFF"/>
        </w:rPr>
        <w:t xml:space="preserve"> - et </w:t>
      </w:r>
      <w:r w:rsidR="00C50D9D">
        <w:rPr>
          <w:rFonts w:ascii="Times New Roman" w:hAnsi="Times New Roman" w:cs="Times New Roman"/>
          <w:shd w:val="clear" w:color="auto" w:fill="FFFFFF"/>
        </w:rPr>
        <w:t xml:space="preserve">comporte dix-huit chapitres </w:t>
      </w:r>
      <w:r w:rsidR="008B4DB8">
        <w:rPr>
          <w:rFonts w:ascii="Times New Roman" w:hAnsi="Times New Roman" w:cs="Times New Roman"/>
          <w:shd w:val="clear" w:color="auto" w:fill="FFFFFF"/>
        </w:rPr>
        <w:t xml:space="preserve">rédigés par </w:t>
      </w:r>
      <w:r w:rsidR="00833E5B">
        <w:rPr>
          <w:rFonts w:ascii="Times New Roman" w:hAnsi="Times New Roman" w:cs="Times New Roman"/>
          <w:shd w:val="clear" w:color="auto" w:fill="FFFFFF"/>
        </w:rPr>
        <w:t xml:space="preserve">une trentaine de </w:t>
      </w:r>
      <w:r w:rsidR="008B4DB8">
        <w:rPr>
          <w:rFonts w:ascii="Times New Roman" w:hAnsi="Times New Roman" w:cs="Times New Roman"/>
          <w:shd w:val="clear" w:color="auto" w:fill="FFFFFF"/>
        </w:rPr>
        <w:t>contributeurs de différents pays</w:t>
      </w:r>
      <w:r w:rsidR="00474EEF">
        <w:rPr>
          <w:rStyle w:val="Appelnotedebasdep"/>
          <w:rFonts w:ascii="Times New Roman" w:hAnsi="Times New Roman" w:cs="Times New Roman"/>
          <w:shd w:val="clear" w:color="auto" w:fill="FFFFFF"/>
        </w:rPr>
        <w:footnoteReference w:id="1"/>
      </w:r>
      <w:r w:rsidR="008B4DB8">
        <w:rPr>
          <w:rFonts w:ascii="Times New Roman" w:hAnsi="Times New Roman" w:cs="Times New Roman"/>
          <w:shd w:val="clear" w:color="auto" w:fill="FFFFFF"/>
        </w:rPr>
        <w:t xml:space="preserve">. </w:t>
      </w:r>
    </w:p>
    <w:p w:rsidR="001D35F7" w:rsidRDefault="001D35F7" w:rsidP="00076626">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D5004C" w:rsidRPr="00D5004C" w:rsidRDefault="001D35F7" w:rsidP="00D5004C">
      <w:pPr>
        <w:spacing w:after="0" w:line="240" w:lineRule="auto"/>
        <w:jc w:val="both"/>
        <w:rPr>
          <w:rFonts w:ascii="Times New Roman" w:hAnsi="Times New Roman" w:cs="Times New Roman"/>
        </w:rPr>
      </w:pPr>
      <w:r w:rsidRPr="001D35F7">
        <w:rPr>
          <w:rFonts w:ascii="Times New Roman" w:hAnsi="Times New Roman" w:cs="Times New Roman"/>
          <w:shd w:val="clear" w:color="auto" w:fill="FFFFFF"/>
        </w:rPr>
        <w:t xml:space="preserve">La première partie est consacrée à l'étude des différentes techniques contractuelles, de la vente aux multiples catégories de contrats de location d'aéronefs et de leurs moteurs. </w:t>
      </w:r>
      <w:r w:rsidR="00C50D9D">
        <w:rPr>
          <w:rFonts w:ascii="Times New Roman" w:hAnsi="Times New Roman" w:cs="Times New Roman"/>
          <w:shd w:val="clear" w:color="auto" w:fill="FFFFFF"/>
        </w:rPr>
        <w:t>De larges développements sont ainsi consacrées au contrat de location coque nue (</w:t>
      </w:r>
      <w:r w:rsidR="00D7271F" w:rsidRPr="002D548E">
        <w:rPr>
          <w:rFonts w:ascii="Times New Roman" w:hAnsi="Times New Roman" w:cs="Times New Roman"/>
          <w:i/>
          <w:shd w:val="clear" w:color="auto" w:fill="FFFFFF"/>
        </w:rPr>
        <w:t>dry lease</w:t>
      </w:r>
      <w:r w:rsidR="00D7271F">
        <w:rPr>
          <w:rFonts w:ascii="Times New Roman" w:hAnsi="Times New Roman" w:cs="Times New Roman"/>
          <w:shd w:val="clear" w:color="auto" w:fill="FFFFFF"/>
        </w:rPr>
        <w:t>)</w:t>
      </w:r>
      <w:r w:rsidR="00C50D9D">
        <w:rPr>
          <w:rFonts w:ascii="Times New Roman" w:hAnsi="Times New Roman" w:cs="Times New Roman"/>
          <w:shd w:val="clear" w:color="auto" w:fill="FFFFFF"/>
        </w:rPr>
        <w:t xml:space="preserve"> ou avec équipage (</w:t>
      </w:r>
      <w:r w:rsidR="00D7271F" w:rsidRPr="002D548E">
        <w:rPr>
          <w:rFonts w:ascii="Times New Roman" w:hAnsi="Times New Roman" w:cs="Times New Roman"/>
          <w:i/>
          <w:shd w:val="clear" w:color="auto" w:fill="FFFFFF"/>
        </w:rPr>
        <w:t>wet lease</w:t>
      </w:r>
      <w:r w:rsidR="00C50D9D">
        <w:rPr>
          <w:rFonts w:ascii="Times New Roman" w:hAnsi="Times New Roman" w:cs="Times New Roman"/>
          <w:shd w:val="clear" w:color="auto" w:fill="FFFFFF"/>
        </w:rPr>
        <w:t>) tout en abordant les aspects particuliers -  et peu connus - de la location des moteurs</w:t>
      </w:r>
      <w:r w:rsidR="00D7271F">
        <w:rPr>
          <w:rFonts w:ascii="Times New Roman" w:hAnsi="Times New Roman" w:cs="Times New Roman"/>
          <w:shd w:val="clear" w:color="auto" w:fill="FFFFFF"/>
        </w:rPr>
        <w:t xml:space="preserve">, </w:t>
      </w:r>
      <w:r w:rsidR="00C50D9D">
        <w:rPr>
          <w:rFonts w:ascii="Times New Roman" w:hAnsi="Times New Roman" w:cs="Times New Roman"/>
          <w:shd w:val="clear" w:color="auto" w:fill="FFFFFF"/>
        </w:rPr>
        <w:t xml:space="preserve">ainsi que le contrat d’achat et de vente </w:t>
      </w:r>
      <w:r w:rsidR="00833E5B">
        <w:rPr>
          <w:rFonts w:ascii="Times New Roman" w:hAnsi="Times New Roman" w:cs="Times New Roman"/>
          <w:shd w:val="clear" w:color="auto" w:fill="FFFFFF"/>
        </w:rPr>
        <w:t xml:space="preserve">proprement dits </w:t>
      </w:r>
      <w:r w:rsidR="00C50D9D">
        <w:rPr>
          <w:rFonts w:ascii="Times New Roman" w:hAnsi="Times New Roman" w:cs="Times New Roman"/>
          <w:shd w:val="clear" w:color="auto" w:fill="FFFFFF"/>
        </w:rPr>
        <w:t>d’aéronefs</w:t>
      </w:r>
      <w:r w:rsidR="00D7271F">
        <w:rPr>
          <w:rFonts w:ascii="Times New Roman" w:hAnsi="Times New Roman" w:cs="Times New Roman"/>
          <w:shd w:val="clear" w:color="auto" w:fill="FFFFFF"/>
        </w:rPr>
        <w:t>.</w:t>
      </w:r>
      <w:r w:rsidR="00C50D9D">
        <w:rPr>
          <w:rFonts w:ascii="Times New Roman" w:hAnsi="Times New Roman" w:cs="Times New Roman"/>
          <w:shd w:val="clear" w:color="auto" w:fill="FFFFFF"/>
        </w:rPr>
        <w:t xml:space="preserve"> </w:t>
      </w:r>
      <w:r w:rsidR="00D5004C" w:rsidRPr="00D5004C">
        <w:rPr>
          <w:rFonts w:ascii="Times New Roman" w:hAnsi="Times New Roman" w:cs="Times New Roman"/>
        </w:rPr>
        <w:t xml:space="preserve">La typologie des contrats englobe </w:t>
      </w:r>
      <w:r w:rsidR="00833E5B">
        <w:rPr>
          <w:rFonts w:ascii="Times New Roman" w:hAnsi="Times New Roman" w:cs="Times New Roman"/>
        </w:rPr>
        <w:t>également de</w:t>
      </w:r>
      <w:r w:rsidR="00D5004C" w:rsidRPr="00D5004C">
        <w:rPr>
          <w:rFonts w:ascii="Times New Roman" w:hAnsi="Times New Roman" w:cs="Times New Roman"/>
        </w:rPr>
        <w:t xml:space="preserve">s formules </w:t>
      </w:r>
      <w:r w:rsidR="00833E5B">
        <w:rPr>
          <w:rFonts w:ascii="Times New Roman" w:hAnsi="Times New Roman" w:cs="Times New Roman"/>
        </w:rPr>
        <w:t xml:space="preserve">de </w:t>
      </w:r>
      <w:r w:rsidR="00D5004C" w:rsidRPr="00D5004C">
        <w:rPr>
          <w:rFonts w:ascii="Times New Roman" w:hAnsi="Times New Roman" w:cs="Times New Roman"/>
        </w:rPr>
        <w:t xml:space="preserve">vente de sièges ou </w:t>
      </w:r>
      <w:r w:rsidR="00833E5B">
        <w:rPr>
          <w:rFonts w:ascii="Times New Roman" w:hAnsi="Times New Roman" w:cs="Times New Roman"/>
        </w:rPr>
        <w:t xml:space="preserve">d’espace </w:t>
      </w:r>
      <w:r w:rsidR="00D5004C" w:rsidRPr="00D5004C">
        <w:rPr>
          <w:rFonts w:ascii="Times New Roman" w:hAnsi="Times New Roman" w:cs="Times New Roman"/>
        </w:rPr>
        <w:t>à bord d’un appareil, dont l’opérateur est ou non le propriétaire</w:t>
      </w:r>
      <w:r w:rsidR="00833E5B">
        <w:rPr>
          <w:rFonts w:ascii="Times New Roman" w:hAnsi="Times New Roman" w:cs="Times New Roman"/>
        </w:rPr>
        <w:t xml:space="preserve"> et au </w:t>
      </w:r>
      <w:r w:rsidR="00D5004C" w:rsidRPr="00D5004C">
        <w:rPr>
          <w:rFonts w:ascii="Times New Roman" w:hAnsi="Times New Roman" w:cs="Times New Roman"/>
        </w:rPr>
        <w:t>travers desquelles s’insèrent souvent des mécanismes de sûretés parfois soumis à différents ordres juridiques nationaux.</w:t>
      </w:r>
    </w:p>
    <w:p w:rsidR="00C50D9D" w:rsidRPr="00D5004C" w:rsidRDefault="00C50D9D" w:rsidP="00076626">
      <w:pPr>
        <w:spacing w:after="0" w:line="240" w:lineRule="auto"/>
        <w:jc w:val="both"/>
        <w:rPr>
          <w:rFonts w:ascii="Times New Roman" w:hAnsi="Times New Roman" w:cs="Times New Roman"/>
          <w:shd w:val="clear" w:color="auto" w:fill="FFFFFF"/>
        </w:rPr>
      </w:pPr>
    </w:p>
    <w:p w:rsidR="00D7271F" w:rsidRPr="00D7271F" w:rsidRDefault="001D35F7" w:rsidP="00076626">
      <w:pPr>
        <w:spacing w:after="0" w:line="240" w:lineRule="auto"/>
        <w:jc w:val="both"/>
        <w:rPr>
          <w:rFonts w:ascii="Times New Roman" w:hAnsi="Times New Roman" w:cs="Times New Roman"/>
        </w:rPr>
      </w:pPr>
      <w:r w:rsidRPr="00D7271F">
        <w:rPr>
          <w:rFonts w:ascii="Times New Roman" w:hAnsi="Times New Roman" w:cs="Times New Roman"/>
          <w:shd w:val="clear" w:color="auto" w:fill="FFFFFF"/>
        </w:rPr>
        <w:t>Les variétés de financement sont ensuite décrites dans une deuxième partie, traitant aussi bien des modes traditionnels de financement que les questions plus spécifiques du financement islamique</w:t>
      </w:r>
      <w:r w:rsidR="00D7271F">
        <w:rPr>
          <w:rFonts w:ascii="Times New Roman" w:hAnsi="Times New Roman" w:cs="Times New Roman"/>
          <w:shd w:val="clear" w:color="auto" w:fill="FFFFFF"/>
        </w:rPr>
        <w:t>, du rôle des agences de crédit à l’exportation e</w:t>
      </w:r>
      <w:r w:rsidRPr="00D7271F">
        <w:rPr>
          <w:rFonts w:ascii="Times New Roman" w:hAnsi="Times New Roman" w:cs="Times New Roman"/>
          <w:shd w:val="clear" w:color="auto" w:fill="FFFFFF"/>
        </w:rPr>
        <w:t xml:space="preserve">t </w:t>
      </w:r>
      <w:r w:rsidR="00EE1227">
        <w:rPr>
          <w:rFonts w:ascii="Times New Roman" w:hAnsi="Times New Roman" w:cs="Times New Roman"/>
          <w:shd w:val="clear" w:color="auto" w:fill="FFFFFF"/>
        </w:rPr>
        <w:t xml:space="preserve">des spécificités du marché </w:t>
      </w:r>
      <w:r w:rsidRPr="00D7271F">
        <w:rPr>
          <w:rFonts w:ascii="Times New Roman" w:hAnsi="Times New Roman" w:cs="Times New Roman"/>
          <w:shd w:val="clear" w:color="auto" w:fill="FFFFFF"/>
        </w:rPr>
        <w:t>de l'aviation d'affaire. </w:t>
      </w:r>
      <w:r w:rsidR="00D7271F" w:rsidRPr="00D7271F">
        <w:rPr>
          <w:rFonts w:ascii="Times New Roman" w:hAnsi="Times New Roman" w:cs="Times New Roman"/>
        </w:rPr>
        <w:t xml:space="preserve">En 2016, la demande d’aéronefs s’est traduite par la livraison d’appareils commerciaux neufs pour une valeur de 123 Md USD. Les techniques de  financement se ventilent comme suit : 9% de crédits à l’exportation, 28% d’emprunts bancaires, 38 % d’appels au marché des capitaux et 25% de liquidités. Le leasing financier </w:t>
      </w:r>
      <w:r w:rsidR="00EE1227">
        <w:rPr>
          <w:rFonts w:ascii="Times New Roman" w:hAnsi="Times New Roman" w:cs="Times New Roman"/>
        </w:rPr>
        <w:t xml:space="preserve">qui est le plus fréquent, </w:t>
      </w:r>
      <w:r w:rsidR="00D7271F" w:rsidRPr="00D7271F">
        <w:rPr>
          <w:rFonts w:ascii="Times New Roman" w:hAnsi="Times New Roman" w:cs="Times New Roman"/>
        </w:rPr>
        <w:t xml:space="preserve"> consiste à faire financer un avion par une société ad hoc (SPV) qui en détient la propriété juridique (via la délégation du contrat d’achat original) et agit en tant que bailleur. A la fin du </w:t>
      </w:r>
      <w:r w:rsidR="00D7271F" w:rsidRPr="00EE1227">
        <w:rPr>
          <w:rFonts w:ascii="Times New Roman" w:hAnsi="Times New Roman" w:cs="Times New Roman"/>
          <w:i/>
        </w:rPr>
        <w:t xml:space="preserve">lease </w:t>
      </w:r>
      <w:r w:rsidR="00D7271F" w:rsidRPr="00D7271F">
        <w:rPr>
          <w:rFonts w:ascii="Times New Roman" w:hAnsi="Times New Roman" w:cs="Times New Roman"/>
        </w:rPr>
        <w:t xml:space="preserve">financier dont la durée coïncide généralement avec celle du prêt, l’opérateur aérien bénéficie d’une option d’achat de l’avion auprès du constructeur, le solde du prix de l’avion étant fourni par l’opérateur aérien directement ou via un premier loyer au titre du </w:t>
      </w:r>
      <w:r w:rsidR="00D7271F" w:rsidRPr="00EE1227">
        <w:rPr>
          <w:rFonts w:ascii="Times New Roman" w:hAnsi="Times New Roman" w:cs="Times New Roman"/>
          <w:i/>
        </w:rPr>
        <w:t>lease</w:t>
      </w:r>
      <w:r w:rsidR="00D7271F" w:rsidRPr="00D7271F">
        <w:rPr>
          <w:rFonts w:ascii="Times New Roman" w:hAnsi="Times New Roman" w:cs="Times New Roman"/>
        </w:rPr>
        <w:t xml:space="preserve"> financier.</w:t>
      </w:r>
    </w:p>
    <w:p w:rsidR="00D7271F" w:rsidRPr="00D7271F" w:rsidRDefault="00D7271F" w:rsidP="00076626">
      <w:pPr>
        <w:spacing w:after="0" w:line="240" w:lineRule="auto"/>
        <w:jc w:val="both"/>
        <w:rPr>
          <w:rFonts w:ascii="Times New Roman" w:hAnsi="Times New Roman" w:cs="Times New Roman"/>
        </w:rPr>
      </w:pPr>
    </w:p>
    <w:p w:rsidR="00D5004C" w:rsidRDefault="001D35F7" w:rsidP="00D5004C">
      <w:pPr>
        <w:spacing w:after="0" w:line="240" w:lineRule="auto"/>
        <w:jc w:val="both"/>
        <w:rPr>
          <w:rFonts w:ascii="Times New Roman" w:hAnsi="Times New Roman" w:cs="Times New Roman"/>
        </w:rPr>
      </w:pPr>
      <w:r w:rsidRPr="001D35F7">
        <w:rPr>
          <w:rFonts w:ascii="Times New Roman" w:hAnsi="Times New Roman" w:cs="Times New Roman"/>
          <w:shd w:val="clear" w:color="auto" w:fill="FFFFFF"/>
        </w:rPr>
        <w:t xml:space="preserve">La troisième partie est consacrée à l'étude des garanties </w:t>
      </w:r>
      <w:r w:rsidR="008B4DB8">
        <w:rPr>
          <w:rFonts w:ascii="Times New Roman" w:hAnsi="Times New Roman" w:cs="Times New Roman"/>
          <w:shd w:val="clear" w:color="auto" w:fill="FFFFFF"/>
        </w:rPr>
        <w:t xml:space="preserve">et de privilèges </w:t>
      </w:r>
      <w:r w:rsidRPr="001D35F7">
        <w:rPr>
          <w:rFonts w:ascii="Times New Roman" w:hAnsi="Times New Roman" w:cs="Times New Roman"/>
          <w:shd w:val="clear" w:color="auto" w:fill="FFFFFF"/>
        </w:rPr>
        <w:t xml:space="preserve">portant sur les aéronefs. </w:t>
      </w:r>
      <w:r w:rsidR="008B4DB8">
        <w:rPr>
          <w:rFonts w:ascii="Times New Roman" w:hAnsi="Times New Roman" w:cs="Times New Roman"/>
          <w:shd w:val="clear" w:color="auto" w:fill="FFFFFF"/>
        </w:rPr>
        <w:t xml:space="preserve">Elle permet de mesurer l’importance des conventions de Genève de 1948 et du Cap de 2001. </w:t>
      </w:r>
      <w:r w:rsidR="00D5004C">
        <w:rPr>
          <w:rFonts w:ascii="Times New Roman" w:hAnsi="Times New Roman" w:cs="Times New Roman"/>
        </w:rPr>
        <w:t>Depuis l’entrée en vigueur, le 1</w:t>
      </w:r>
      <w:r w:rsidR="00D5004C" w:rsidRPr="00B12966">
        <w:rPr>
          <w:rFonts w:ascii="Times New Roman" w:hAnsi="Times New Roman" w:cs="Times New Roman"/>
          <w:vertAlign w:val="superscript"/>
        </w:rPr>
        <w:t>er</w:t>
      </w:r>
      <w:r w:rsidR="00D5004C">
        <w:rPr>
          <w:rFonts w:ascii="Times New Roman" w:hAnsi="Times New Roman" w:cs="Times New Roman"/>
        </w:rPr>
        <w:t xml:space="preserve"> mars 2006, de cette dernière et de son protocole additionnel, l’intérêt de la convention de Genève relative à la reconnaissance internationale des droits sur aéronefs va en </w:t>
      </w:r>
      <w:r w:rsidR="00D5004C">
        <w:rPr>
          <w:rFonts w:ascii="Times New Roman" w:hAnsi="Times New Roman" w:cs="Times New Roman"/>
        </w:rPr>
        <w:lastRenderedPageBreak/>
        <w:t>décroissant. En vertu de l’article XXIII du protocole, ces instruments prévalent dans les Etats qui les ont ratifiés, sur la convention de Genève, sauf en ce qui concerne les droits ou garanties qui ne sont pas visés ou affectés par le convention du Cap.</w:t>
      </w:r>
    </w:p>
    <w:p w:rsidR="00D5004C" w:rsidRDefault="00D5004C" w:rsidP="00D5004C">
      <w:pPr>
        <w:spacing w:after="0" w:line="240" w:lineRule="auto"/>
        <w:jc w:val="both"/>
        <w:rPr>
          <w:rFonts w:ascii="Times New Roman" w:hAnsi="Times New Roman" w:cs="Times New Roman"/>
        </w:rPr>
      </w:pPr>
    </w:p>
    <w:p w:rsidR="00076626" w:rsidRDefault="001D35F7" w:rsidP="00D5004C">
      <w:pPr>
        <w:spacing w:after="0" w:line="240" w:lineRule="auto"/>
        <w:jc w:val="both"/>
        <w:rPr>
          <w:rFonts w:ascii="Times New Roman" w:hAnsi="Times New Roman" w:cs="Times New Roman"/>
          <w:shd w:val="clear" w:color="auto" w:fill="FFFFFF"/>
        </w:rPr>
      </w:pPr>
      <w:r w:rsidRPr="001D35F7">
        <w:rPr>
          <w:rFonts w:ascii="Times New Roman" w:hAnsi="Times New Roman" w:cs="Times New Roman"/>
          <w:shd w:val="clear" w:color="auto" w:fill="FFFFFF"/>
        </w:rPr>
        <w:t>L</w:t>
      </w:r>
      <w:r w:rsidR="00D5004C">
        <w:rPr>
          <w:rFonts w:ascii="Times New Roman" w:hAnsi="Times New Roman" w:cs="Times New Roman"/>
          <w:shd w:val="clear" w:color="auto" w:fill="FFFFFF"/>
        </w:rPr>
        <w:t>’environnement réglementaire du financement d’aéronefs</w:t>
      </w:r>
      <w:r w:rsidR="00EE1227">
        <w:rPr>
          <w:rFonts w:ascii="Times New Roman" w:hAnsi="Times New Roman" w:cs="Times New Roman"/>
          <w:shd w:val="clear" w:color="auto" w:fill="FFFFFF"/>
        </w:rPr>
        <w:t>,</w:t>
      </w:r>
      <w:r w:rsidR="00D5004C">
        <w:rPr>
          <w:rFonts w:ascii="Times New Roman" w:hAnsi="Times New Roman" w:cs="Times New Roman"/>
          <w:shd w:val="clear" w:color="auto" w:fill="FFFFFF"/>
        </w:rPr>
        <w:t xml:space="preserve"> </w:t>
      </w:r>
      <w:r w:rsidR="00EE1227">
        <w:rPr>
          <w:rFonts w:ascii="Times New Roman" w:hAnsi="Times New Roman" w:cs="Times New Roman"/>
          <w:shd w:val="clear" w:color="auto" w:fill="FFFFFF"/>
        </w:rPr>
        <w:t xml:space="preserve">qui reflète le rôle encore très important dans Etats dans le secteur aéronautique, </w:t>
      </w:r>
      <w:r w:rsidR="00D5004C">
        <w:rPr>
          <w:rFonts w:ascii="Times New Roman" w:hAnsi="Times New Roman" w:cs="Times New Roman"/>
          <w:shd w:val="clear" w:color="auto" w:fill="FFFFFF"/>
        </w:rPr>
        <w:t xml:space="preserve">est ensuite abordé dans une quatrième partie </w:t>
      </w:r>
      <w:r w:rsidR="00EE1227">
        <w:rPr>
          <w:rFonts w:ascii="Times New Roman" w:hAnsi="Times New Roman" w:cs="Times New Roman"/>
          <w:shd w:val="clear" w:color="auto" w:fill="FFFFFF"/>
        </w:rPr>
        <w:t xml:space="preserve">consacrée aux </w:t>
      </w:r>
      <w:r w:rsidRPr="001D35F7">
        <w:rPr>
          <w:rFonts w:ascii="Times New Roman" w:hAnsi="Times New Roman" w:cs="Times New Roman"/>
          <w:shd w:val="clear" w:color="auto" w:fill="FFFFFF"/>
        </w:rPr>
        <w:t>questions d'immatriculation, de sécurité, des règles de l'Organisation mondiale du commerce</w:t>
      </w:r>
      <w:r w:rsidR="003F2226">
        <w:rPr>
          <w:rFonts w:ascii="Times New Roman" w:hAnsi="Times New Roman" w:cs="Times New Roman"/>
          <w:shd w:val="clear" w:color="auto" w:fill="FFFFFF"/>
        </w:rPr>
        <w:t xml:space="preserve"> qui régissent en partie la vente d’un aéronef, </w:t>
      </w:r>
      <w:r w:rsidRPr="001D35F7">
        <w:rPr>
          <w:rFonts w:ascii="Times New Roman" w:hAnsi="Times New Roman" w:cs="Times New Roman"/>
          <w:shd w:val="clear" w:color="auto" w:fill="FFFFFF"/>
        </w:rPr>
        <w:t xml:space="preserve">du contrôle des exportations </w:t>
      </w:r>
      <w:r w:rsidR="00EE1227">
        <w:rPr>
          <w:rFonts w:ascii="Times New Roman" w:hAnsi="Times New Roman" w:cs="Times New Roman"/>
          <w:shd w:val="clear" w:color="auto" w:fill="FFFFFF"/>
        </w:rPr>
        <w:t>ou encore d</w:t>
      </w:r>
      <w:r w:rsidRPr="001D35F7">
        <w:rPr>
          <w:rFonts w:ascii="Times New Roman" w:hAnsi="Times New Roman" w:cs="Times New Roman"/>
          <w:shd w:val="clear" w:color="auto" w:fill="FFFFFF"/>
        </w:rPr>
        <w:t>e</w:t>
      </w:r>
      <w:r w:rsidR="00D5004C">
        <w:rPr>
          <w:rFonts w:ascii="Times New Roman" w:hAnsi="Times New Roman" w:cs="Times New Roman"/>
          <w:shd w:val="clear" w:color="auto" w:fill="FFFFFF"/>
        </w:rPr>
        <w:t xml:space="preserve">s aspects de la location d’aéronef au travers de l’exemple de la </w:t>
      </w:r>
      <w:r w:rsidR="003F2226">
        <w:rPr>
          <w:rFonts w:ascii="Times New Roman" w:hAnsi="Times New Roman" w:cs="Times New Roman"/>
          <w:shd w:val="clear" w:color="auto" w:fill="FFFFFF"/>
        </w:rPr>
        <w:t xml:space="preserve">Belgique </w:t>
      </w:r>
    </w:p>
    <w:p w:rsidR="00076626" w:rsidRDefault="00076626" w:rsidP="00076626">
      <w:pPr>
        <w:spacing w:after="0" w:line="240" w:lineRule="auto"/>
        <w:jc w:val="both"/>
        <w:rPr>
          <w:rFonts w:ascii="Times New Roman" w:hAnsi="Times New Roman" w:cs="Times New Roman"/>
          <w:shd w:val="clear" w:color="auto" w:fill="FFFFFF"/>
        </w:rPr>
      </w:pPr>
    </w:p>
    <w:p w:rsidR="00076626" w:rsidRPr="00766AEA" w:rsidRDefault="001D35F7" w:rsidP="00076626">
      <w:pPr>
        <w:spacing w:after="0" w:line="240" w:lineRule="auto"/>
        <w:jc w:val="both"/>
        <w:rPr>
          <w:rFonts w:ascii="Times New Roman" w:hAnsi="Times New Roman" w:cs="Times New Roman"/>
        </w:rPr>
      </w:pPr>
      <w:r w:rsidRPr="001D35F7">
        <w:rPr>
          <w:rFonts w:ascii="Times New Roman" w:hAnsi="Times New Roman" w:cs="Times New Roman"/>
          <w:shd w:val="clear" w:color="auto" w:fill="FFFFFF"/>
        </w:rPr>
        <w:t xml:space="preserve">Enfin </w:t>
      </w:r>
      <w:r w:rsidR="00E56363">
        <w:rPr>
          <w:rFonts w:ascii="Times New Roman" w:hAnsi="Times New Roman" w:cs="Times New Roman"/>
          <w:shd w:val="clear" w:color="auto" w:fill="FFFFFF"/>
        </w:rPr>
        <w:t xml:space="preserve">la </w:t>
      </w:r>
      <w:r w:rsidR="00076626">
        <w:rPr>
          <w:rFonts w:ascii="Times New Roman" w:hAnsi="Times New Roman" w:cs="Times New Roman"/>
          <w:shd w:val="clear" w:color="auto" w:fill="FFFFFF"/>
        </w:rPr>
        <w:t xml:space="preserve">cinquième et </w:t>
      </w:r>
      <w:r w:rsidRPr="001D35F7">
        <w:rPr>
          <w:rFonts w:ascii="Times New Roman" w:hAnsi="Times New Roman" w:cs="Times New Roman"/>
          <w:shd w:val="clear" w:color="auto" w:fill="FFFFFF"/>
        </w:rPr>
        <w:t xml:space="preserve">dernière partie </w:t>
      </w:r>
      <w:r w:rsidR="00076626">
        <w:rPr>
          <w:rFonts w:ascii="Times New Roman" w:hAnsi="Times New Roman" w:cs="Times New Roman"/>
          <w:shd w:val="clear" w:color="auto" w:fill="FFFFFF"/>
        </w:rPr>
        <w:t xml:space="preserve">traite du </w:t>
      </w:r>
      <w:r w:rsidRPr="001D35F7">
        <w:rPr>
          <w:rFonts w:ascii="Times New Roman" w:hAnsi="Times New Roman" w:cs="Times New Roman"/>
          <w:shd w:val="clear" w:color="auto" w:fill="FFFFFF"/>
        </w:rPr>
        <w:t>contentieux.</w:t>
      </w:r>
      <w:r w:rsidR="00C50D9D" w:rsidRPr="00C50D9D">
        <w:rPr>
          <w:rFonts w:ascii="Times New Roman" w:hAnsi="Times New Roman" w:cs="Times New Roman"/>
          <w:shd w:val="clear" w:color="auto" w:fill="FFFFFF"/>
        </w:rPr>
        <w:t xml:space="preserve"> </w:t>
      </w:r>
      <w:r w:rsidR="00076626">
        <w:rPr>
          <w:rFonts w:ascii="Times New Roman" w:hAnsi="Times New Roman" w:cs="Times New Roman"/>
          <w:shd w:val="clear" w:color="auto" w:fill="FFFFFF"/>
        </w:rPr>
        <w:t xml:space="preserve">Abordant le problème de la </w:t>
      </w:r>
      <w:r w:rsidR="00076626" w:rsidRPr="00CC37BB">
        <w:rPr>
          <w:rFonts w:ascii="Times New Roman" w:hAnsi="Times New Roman" w:cs="Times New Roman"/>
        </w:rPr>
        <w:t>compétence de juridiction en matière de  repossession d’aéronefs dans l’UE, Vinçent Correia et Cyril-Igor Grigorieff soulignent que peu</w:t>
      </w:r>
      <w:r w:rsidR="00076626">
        <w:rPr>
          <w:rFonts w:ascii="Times New Roman" w:hAnsi="Times New Roman" w:cs="Times New Roman"/>
          <w:b/>
        </w:rPr>
        <w:t xml:space="preserve"> </w:t>
      </w:r>
      <w:r w:rsidR="00076626" w:rsidRPr="00766AEA">
        <w:rPr>
          <w:rFonts w:ascii="Times New Roman" w:hAnsi="Times New Roman" w:cs="Times New Roman"/>
        </w:rPr>
        <w:t>de systèmes juridiques offrent au créancier la possibilité de reprendre la possession d’un aéronef sans avoir obtenu au préalable une décision judiciaire, ce qui suppose</w:t>
      </w:r>
      <w:r w:rsidR="00766AEA" w:rsidRPr="00766AEA">
        <w:rPr>
          <w:rFonts w:ascii="Times New Roman" w:hAnsi="Times New Roman" w:cs="Times New Roman"/>
        </w:rPr>
        <w:t xml:space="preserve"> de savoir vers quelle </w:t>
      </w:r>
      <w:r w:rsidR="00076626" w:rsidRPr="00766AEA">
        <w:rPr>
          <w:rFonts w:ascii="Times New Roman" w:hAnsi="Times New Roman" w:cs="Times New Roman"/>
        </w:rPr>
        <w:t xml:space="preserve">juridiction le créancier doit se tourner. Bien que n’étant pas en vigueur dans tous les Etats, plusieurs conventions internationales </w:t>
      </w:r>
      <w:r w:rsidR="00D5004C">
        <w:rPr>
          <w:rFonts w:ascii="Times New Roman" w:hAnsi="Times New Roman" w:cs="Times New Roman"/>
        </w:rPr>
        <w:t>apportent des réponses</w:t>
      </w:r>
      <w:r w:rsidR="00E56363">
        <w:rPr>
          <w:rFonts w:ascii="Times New Roman" w:hAnsi="Times New Roman" w:cs="Times New Roman"/>
        </w:rPr>
        <w:t xml:space="preserve"> à cette question. Il en va ainsi de </w:t>
      </w:r>
      <w:r w:rsidR="00D5004C">
        <w:rPr>
          <w:rFonts w:ascii="Times New Roman" w:hAnsi="Times New Roman" w:cs="Times New Roman"/>
        </w:rPr>
        <w:t xml:space="preserve">la </w:t>
      </w:r>
      <w:r w:rsidR="00076626" w:rsidRPr="00766AEA">
        <w:rPr>
          <w:rFonts w:ascii="Times New Roman" w:hAnsi="Times New Roman" w:cs="Times New Roman"/>
        </w:rPr>
        <w:t>convention de Rome du 29 mai 1933 pour l’unification de certaines règles relatives à la saisie conservatoire des aéronefs</w:t>
      </w:r>
      <w:r w:rsidR="00E56363">
        <w:rPr>
          <w:rFonts w:ascii="Times New Roman" w:hAnsi="Times New Roman" w:cs="Times New Roman"/>
        </w:rPr>
        <w:t>, de l</w:t>
      </w:r>
      <w:r w:rsidR="00D5004C">
        <w:rPr>
          <w:rFonts w:ascii="Times New Roman" w:hAnsi="Times New Roman" w:cs="Times New Roman"/>
        </w:rPr>
        <w:t xml:space="preserve">a </w:t>
      </w:r>
      <w:r w:rsidR="00076626" w:rsidRPr="00766AEA">
        <w:rPr>
          <w:rFonts w:ascii="Times New Roman" w:hAnsi="Times New Roman" w:cs="Times New Roman"/>
        </w:rPr>
        <w:t>convention de Genève du 19 juin 1948 relative à la reconnaissance internationale des droits sur aéronefs</w:t>
      </w:r>
      <w:r w:rsidR="00E56363">
        <w:rPr>
          <w:rFonts w:ascii="Times New Roman" w:hAnsi="Times New Roman" w:cs="Times New Roman"/>
        </w:rPr>
        <w:t xml:space="preserve">, de </w:t>
      </w:r>
      <w:r w:rsidR="00076626" w:rsidRPr="00766AEA">
        <w:rPr>
          <w:rFonts w:ascii="Times New Roman" w:hAnsi="Times New Roman" w:cs="Times New Roman"/>
        </w:rPr>
        <w:t>convention du Cap du 16 novembre 2001 relative aux garanties internationales portant sur les questions spécifiques aux matériels d’équipement aéronautiques </w:t>
      </w:r>
      <w:r w:rsidR="00E56363">
        <w:rPr>
          <w:rFonts w:ascii="Times New Roman" w:hAnsi="Times New Roman" w:cs="Times New Roman"/>
        </w:rPr>
        <w:t xml:space="preserve">ou encore de </w:t>
      </w:r>
      <w:r w:rsidR="00076626" w:rsidRPr="00766AEA">
        <w:rPr>
          <w:rFonts w:ascii="Times New Roman" w:hAnsi="Times New Roman" w:cs="Times New Roman"/>
        </w:rPr>
        <w:t xml:space="preserve">la convention de Lugano du 16 septembre 1988 concernant la compétence judiciaire et l’exécution des décisions en matière civile et commerciale. Au niveau européen, la règlement n°215/2012 du Parlement européen et du Conseil du 12 décembre 2012concernant la compétence judiciaire, la reconnaissance et l’exécution des décisions en matière civile et commerciale, régulièrement amendé, dit « règlement Bruxelles Ibis », </w:t>
      </w:r>
      <w:r w:rsidR="00B23759">
        <w:rPr>
          <w:rFonts w:ascii="Times New Roman" w:hAnsi="Times New Roman" w:cs="Times New Roman"/>
        </w:rPr>
        <w:t xml:space="preserve">contient </w:t>
      </w:r>
      <w:r w:rsidR="00E56363">
        <w:rPr>
          <w:rFonts w:ascii="Times New Roman" w:hAnsi="Times New Roman" w:cs="Times New Roman"/>
        </w:rPr>
        <w:t xml:space="preserve">également </w:t>
      </w:r>
      <w:r w:rsidR="00B23759">
        <w:rPr>
          <w:rFonts w:ascii="Times New Roman" w:hAnsi="Times New Roman" w:cs="Times New Roman"/>
        </w:rPr>
        <w:t>plusieurs séries de dispositions</w:t>
      </w:r>
      <w:r w:rsidR="00076626" w:rsidRPr="00766AEA">
        <w:rPr>
          <w:rFonts w:ascii="Times New Roman" w:hAnsi="Times New Roman" w:cs="Times New Roman"/>
        </w:rPr>
        <w:t xml:space="preserve">. </w:t>
      </w:r>
    </w:p>
    <w:p w:rsidR="00C50D9D" w:rsidRDefault="00C50D9D" w:rsidP="00076626">
      <w:pPr>
        <w:spacing w:after="0" w:line="240" w:lineRule="auto"/>
        <w:jc w:val="both"/>
        <w:rPr>
          <w:rFonts w:ascii="Times New Roman" w:hAnsi="Times New Roman" w:cs="Times New Roman"/>
          <w:shd w:val="clear" w:color="auto" w:fill="FFFFFF"/>
        </w:rPr>
      </w:pPr>
    </w:p>
    <w:p w:rsidR="00C50D9D" w:rsidRDefault="00C50D9D" w:rsidP="00076626">
      <w:pPr>
        <w:spacing w:after="0" w:line="240" w:lineRule="auto"/>
        <w:jc w:val="both"/>
        <w:rPr>
          <w:rFonts w:ascii="Times New Roman" w:hAnsi="Times New Roman" w:cs="Times New Roman"/>
          <w:shd w:val="clear" w:color="auto" w:fill="FFFFFF"/>
        </w:rPr>
      </w:pPr>
    </w:p>
    <w:p w:rsidR="001D35F7" w:rsidRPr="001D35F7" w:rsidRDefault="00C50D9D" w:rsidP="00655108">
      <w:pPr>
        <w:jc w:val="right"/>
        <w:rPr>
          <w:rFonts w:ascii="Times New Roman" w:hAnsi="Times New Roman" w:cs="Times New Roman"/>
          <w:b/>
        </w:rPr>
      </w:pPr>
      <w:r w:rsidRPr="001D35F7">
        <w:rPr>
          <w:rFonts w:ascii="Times New Roman" w:hAnsi="Times New Roman" w:cs="Times New Roman"/>
        </w:rPr>
        <w:br/>
      </w:r>
      <w:r w:rsidR="00655108">
        <w:rPr>
          <w:rFonts w:ascii="Times New Roman" w:hAnsi="Times New Roman" w:cs="Times New Roman"/>
          <w:b/>
        </w:rPr>
        <w:t>Pascal M. Dupont</w:t>
      </w:r>
    </w:p>
    <w:p w:rsidR="001D35F7" w:rsidRDefault="001D35F7">
      <w:pPr>
        <w:rPr>
          <w:rFonts w:ascii="Times New Roman" w:hAnsi="Times New Roman" w:cs="Times New Roman"/>
          <w:b/>
        </w:rPr>
      </w:pPr>
    </w:p>
    <w:p w:rsidR="00655108" w:rsidRDefault="00655108">
      <w:pPr>
        <w:rPr>
          <w:rFonts w:ascii="Times New Roman" w:hAnsi="Times New Roman" w:cs="Times New Roman"/>
          <w:b/>
        </w:rPr>
      </w:pPr>
      <w:r>
        <w:rPr>
          <w:rFonts w:ascii="Times New Roman" w:hAnsi="Times New Roman" w:cs="Times New Roman"/>
          <w:b/>
        </w:rPr>
        <w:br w:type="page"/>
      </w:r>
    </w:p>
    <w:sectPr w:rsidR="006551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C4A" w:rsidRDefault="00F67C4A" w:rsidP="00891DDF">
      <w:pPr>
        <w:spacing w:after="0" w:line="240" w:lineRule="auto"/>
      </w:pPr>
      <w:r>
        <w:separator/>
      </w:r>
    </w:p>
  </w:endnote>
  <w:endnote w:type="continuationSeparator" w:id="0">
    <w:p w:rsidR="00F67C4A" w:rsidRDefault="00F67C4A" w:rsidP="0089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825811"/>
      <w:docPartObj>
        <w:docPartGallery w:val="Page Numbers (Bottom of Page)"/>
        <w:docPartUnique/>
      </w:docPartObj>
    </w:sdtPr>
    <w:sdtEndPr>
      <w:rPr>
        <w:rFonts w:ascii="Times New Roman" w:hAnsi="Times New Roman" w:cs="Times New Roman"/>
        <w:sz w:val="16"/>
        <w:szCs w:val="16"/>
      </w:rPr>
    </w:sdtEndPr>
    <w:sdtContent>
      <w:p w:rsidR="00E55E46" w:rsidRPr="00DF5A34" w:rsidRDefault="00E55E46">
        <w:pPr>
          <w:pStyle w:val="Pieddepage"/>
          <w:jc w:val="right"/>
          <w:rPr>
            <w:rFonts w:ascii="Times New Roman" w:hAnsi="Times New Roman" w:cs="Times New Roman"/>
            <w:sz w:val="16"/>
            <w:szCs w:val="16"/>
          </w:rPr>
        </w:pPr>
        <w:r w:rsidRPr="00DF5A34">
          <w:rPr>
            <w:rFonts w:ascii="Times New Roman" w:hAnsi="Times New Roman" w:cs="Times New Roman"/>
            <w:sz w:val="16"/>
            <w:szCs w:val="16"/>
          </w:rPr>
          <w:fldChar w:fldCharType="begin"/>
        </w:r>
        <w:r w:rsidRPr="00DF5A34">
          <w:rPr>
            <w:rFonts w:ascii="Times New Roman" w:hAnsi="Times New Roman" w:cs="Times New Roman"/>
            <w:sz w:val="16"/>
            <w:szCs w:val="16"/>
          </w:rPr>
          <w:instrText>PAGE   \* MERGEFORMAT</w:instrText>
        </w:r>
        <w:r w:rsidRPr="00DF5A34">
          <w:rPr>
            <w:rFonts w:ascii="Times New Roman" w:hAnsi="Times New Roman" w:cs="Times New Roman"/>
            <w:sz w:val="16"/>
            <w:szCs w:val="16"/>
          </w:rPr>
          <w:fldChar w:fldCharType="separate"/>
        </w:r>
        <w:r w:rsidR="00E54AA7">
          <w:rPr>
            <w:rFonts w:ascii="Times New Roman" w:hAnsi="Times New Roman" w:cs="Times New Roman"/>
            <w:noProof/>
            <w:sz w:val="16"/>
            <w:szCs w:val="16"/>
          </w:rPr>
          <w:t>1</w:t>
        </w:r>
        <w:r w:rsidRPr="00DF5A34">
          <w:rPr>
            <w:rFonts w:ascii="Times New Roman" w:hAnsi="Times New Roman" w:cs="Times New Roman"/>
            <w:sz w:val="16"/>
            <w:szCs w:val="16"/>
          </w:rPr>
          <w:fldChar w:fldCharType="end"/>
        </w:r>
      </w:p>
    </w:sdtContent>
  </w:sdt>
  <w:p w:rsidR="00E55E46" w:rsidRDefault="00E55E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C4A" w:rsidRDefault="00F67C4A" w:rsidP="00891DDF">
      <w:pPr>
        <w:spacing w:after="0" w:line="240" w:lineRule="auto"/>
      </w:pPr>
      <w:r>
        <w:separator/>
      </w:r>
    </w:p>
  </w:footnote>
  <w:footnote w:type="continuationSeparator" w:id="0">
    <w:p w:rsidR="00F67C4A" w:rsidRDefault="00F67C4A" w:rsidP="00891DDF">
      <w:pPr>
        <w:spacing w:after="0" w:line="240" w:lineRule="auto"/>
      </w:pPr>
      <w:r>
        <w:continuationSeparator/>
      </w:r>
    </w:p>
  </w:footnote>
  <w:footnote w:id="1">
    <w:p w:rsidR="00CD76C8" w:rsidRPr="00CD76C8" w:rsidRDefault="00474EEF" w:rsidP="00CD76C8">
      <w:pPr>
        <w:spacing w:after="0" w:line="240" w:lineRule="auto"/>
        <w:jc w:val="both"/>
        <w:rPr>
          <w:rFonts w:ascii="Times New Roman" w:hAnsi="Times New Roman" w:cs="Times New Roman"/>
        </w:rPr>
      </w:pPr>
      <w:r w:rsidRPr="00CD76C8">
        <w:rPr>
          <w:rStyle w:val="Appelnotedebasdep"/>
        </w:rPr>
        <w:footnoteRef/>
      </w:r>
      <w:r w:rsidRPr="00CD76C8">
        <w:t xml:space="preserve"> </w:t>
      </w:r>
      <w:r w:rsidRPr="00CD76C8">
        <w:rPr>
          <w:rFonts w:ascii="Times New Roman" w:hAnsi="Times New Roman" w:cs="Times New Roman"/>
        </w:rPr>
        <w:t>Dimitri de Bournonville</w:t>
      </w:r>
      <w:r w:rsidR="00CD76C8">
        <w:rPr>
          <w:rFonts w:ascii="Times New Roman" w:hAnsi="Times New Roman" w:cs="Times New Roman"/>
        </w:rPr>
        <w:t xml:space="preserve"> ; </w:t>
      </w:r>
      <w:r w:rsidRPr="00CD76C8">
        <w:rPr>
          <w:rFonts w:ascii="Times New Roman" w:hAnsi="Times New Roman" w:cs="Times New Roman"/>
        </w:rPr>
        <w:t>Cyril-Igor Grigorieff</w:t>
      </w:r>
      <w:r w:rsidR="00CD76C8">
        <w:rPr>
          <w:rFonts w:ascii="Times New Roman" w:hAnsi="Times New Roman" w:cs="Times New Roman"/>
        </w:rPr>
        <w:t xml:space="preserve"> ; </w:t>
      </w:r>
      <w:r w:rsidRPr="00CD76C8">
        <w:rPr>
          <w:rFonts w:ascii="Times New Roman" w:hAnsi="Times New Roman" w:cs="Times New Roman"/>
        </w:rPr>
        <w:t>Pierre Frühling</w:t>
      </w:r>
      <w:r w:rsidR="00CD76C8">
        <w:rPr>
          <w:rFonts w:ascii="Times New Roman" w:hAnsi="Times New Roman" w:cs="Times New Roman"/>
        </w:rPr>
        <w:t xml:space="preserve"> ; </w:t>
      </w:r>
      <w:r w:rsidRPr="00CD76C8">
        <w:rPr>
          <w:rFonts w:ascii="Times New Roman" w:hAnsi="Times New Roman" w:cs="Times New Roman"/>
        </w:rPr>
        <w:t>Stéphanie Golinvaux</w:t>
      </w:r>
      <w:r w:rsidR="00CD76C8">
        <w:rPr>
          <w:rFonts w:ascii="Times New Roman" w:hAnsi="Times New Roman" w:cs="Times New Roman"/>
        </w:rPr>
        <w:t xml:space="preserve"> ; </w:t>
      </w:r>
      <w:r w:rsidRPr="00CD76C8">
        <w:rPr>
          <w:rFonts w:ascii="Times New Roman" w:hAnsi="Times New Roman" w:cs="Times New Roman"/>
        </w:rPr>
        <w:t>Donal Patrick Hanley</w:t>
      </w:r>
      <w:r w:rsidR="00CD76C8">
        <w:rPr>
          <w:rFonts w:ascii="Times New Roman" w:hAnsi="Times New Roman" w:cs="Times New Roman"/>
        </w:rPr>
        <w:t xml:space="preserve"> ; </w:t>
      </w:r>
      <w:r w:rsidRPr="00CD76C8">
        <w:rPr>
          <w:rFonts w:ascii="Times New Roman" w:hAnsi="Times New Roman" w:cs="Times New Roman"/>
        </w:rPr>
        <w:t>Philippe Fontaine</w:t>
      </w:r>
      <w:r w:rsidR="00CD76C8">
        <w:rPr>
          <w:rFonts w:ascii="Times New Roman" w:hAnsi="Times New Roman" w:cs="Times New Roman"/>
        </w:rPr>
        <w:t xml:space="preserve"> ; </w:t>
      </w:r>
      <w:r w:rsidRPr="00CD76C8">
        <w:rPr>
          <w:rFonts w:ascii="Times New Roman" w:hAnsi="Times New Roman" w:cs="Times New Roman"/>
        </w:rPr>
        <w:t>Laurent Chassot</w:t>
      </w:r>
      <w:r w:rsidR="00CD76C8">
        <w:rPr>
          <w:rFonts w:ascii="Times New Roman" w:hAnsi="Times New Roman" w:cs="Times New Roman"/>
        </w:rPr>
        <w:t xml:space="preserve"> ; </w:t>
      </w:r>
      <w:r w:rsidRPr="00CD76C8">
        <w:rPr>
          <w:rFonts w:ascii="Times New Roman" w:hAnsi="Times New Roman" w:cs="Times New Roman"/>
        </w:rPr>
        <w:t>Bernard Crans</w:t>
      </w:r>
      <w:r w:rsidR="00CD76C8">
        <w:rPr>
          <w:rFonts w:ascii="Times New Roman" w:hAnsi="Times New Roman" w:cs="Times New Roman"/>
        </w:rPr>
        <w:t xml:space="preserve"> ; </w:t>
      </w:r>
      <w:r w:rsidRPr="00CD76C8">
        <w:rPr>
          <w:rFonts w:ascii="Times New Roman" w:hAnsi="Times New Roman" w:cs="Times New Roman"/>
        </w:rPr>
        <w:t>Caroline Healey</w:t>
      </w:r>
      <w:r w:rsidR="00CD76C8">
        <w:rPr>
          <w:rFonts w:ascii="Times New Roman" w:hAnsi="Times New Roman" w:cs="Times New Roman"/>
        </w:rPr>
        <w:t xml:space="preserve"> ; </w:t>
      </w:r>
      <w:r w:rsidRPr="00CD76C8">
        <w:rPr>
          <w:rFonts w:ascii="Times New Roman" w:hAnsi="Times New Roman" w:cs="Times New Roman"/>
        </w:rPr>
        <w:t>Kristen Habenicht</w:t>
      </w:r>
      <w:r w:rsidR="00CD76C8">
        <w:rPr>
          <w:rFonts w:ascii="Times New Roman" w:hAnsi="Times New Roman" w:cs="Times New Roman"/>
        </w:rPr>
        <w:t xml:space="preserve"> ; </w:t>
      </w:r>
      <w:r w:rsidRPr="00CD76C8">
        <w:rPr>
          <w:rFonts w:ascii="Times New Roman" w:hAnsi="Times New Roman" w:cs="Times New Roman"/>
        </w:rPr>
        <w:t>Kosta Zolotusky</w:t>
      </w:r>
      <w:r w:rsidR="00CD76C8">
        <w:rPr>
          <w:rFonts w:ascii="Times New Roman" w:hAnsi="Times New Roman" w:cs="Times New Roman"/>
        </w:rPr>
        <w:t> ; J</w:t>
      </w:r>
      <w:r w:rsidRPr="00CD76C8">
        <w:rPr>
          <w:rFonts w:ascii="Times New Roman" w:hAnsi="Times New Roman" w:cs="Times New Roman"/>
        </w:rPr>
        <w:t>osé Abramovici</w:t>
      </w:r>
      <w:r w:rsidR="00CD76C8">
        <w:rPr>
          <w:rFonts w:ascii="Times New Roman" w:hAnsi="Times New Roman" w:cs="Times New Roman"/>
        </w:rPr>
        <w:t xml:space="preserve"> ; </w:t>
      </w:r>
      <w:r w:rsidRPr="00CD76C8">
        <w:rPr>
          <w:rFonts w:ascii="Times New Roman" w:hAnsi="Times New Roman" w:cs="Times New Roman"/>
        </w:rPr>
        <w:t>Marie G. Gauchenot</w:t>
      </w:r>
      <w:r w:rsidR="00CD76C8">
        <w:rPr>
          <w:rFonts w:ascii="Times New Roman" w:hAnsi="Times New Roman" w:cs="Times New Roman"/>
        </w:rPr>
        <w:t xml:space="preserve"> ; </w:t>
      </w:r>
      <w:r w:rsidRPr="00CD76C8">
        <w:rPr>
          <w:rFonts w:ascii="Times New Roman" w:hAnsi="Times New Roman" w:cs="Times New Roman"/>
        </w:rPr>
        <w:t>Camille Plattard</w:t>
      </w:r>
      <w:r w:rsidR="00CD76C8">
        <w:rPr>
          <w:rFonts w:ascii="Times New Roman" w:hAnsi="Times New Roman" w:cs="Times New Roman"/>
        </w:rPr>
        <w:t xml:space="preserve"> ; </w:t>
      </w:r>
      <w:r w:rsidRPr="00CD76C8">
        <w:rPr>
          <w:rFonts w:ascii="Times New Roman" w:hAnsi="Times New Roman" w:cs="Times New Roman"/>
        </w:rPr>
        <w:t>Marc Godefroid</w:t>
      </w:r>
      <w:r w:rsidR="00CD76C8">
        <w:rPr>
          <w:rFonts w:ascii="Times New Roman" w:hAnsi="Times New Roman" w:cs="Times New Roman"/>
        </w:rPr>
        <w:t xml:space="preserve"> ; </w:t>
      </w:r>
      <w:r w:rsidRPr="00CD76C8">
        <w:rPr>
          <w:rFonts w:ascii="Times New Roman" w:hAnsi="Times New Roman" w:cs="Times New Roman"/>
        </w:rPr>
        <w:t>Sir Roy Goode</w:t>
      </w:r>
      <w:r w:rsidR="00CD76C8">
        <w:rPr>
          <w:rFonts w:ascii="Times New Roman" w:hAnsi="Times New Roman" w:cs="Times New Roman"/>
        </w:rPr>
        <w:t xml:space="preserve"> ; </w:t>
      </w:r>
      <w:r w:rsidRPr="00CD76C8">
        <w:rPr>
          <w:rFonts w:ascii="Times New Roman" w:hAnsi="Times New Roman" w:cs="Times New Roman"/>
        </w:rPr>
        <w:t>Anne-Frédérique Pothier</w:t>
      </w:r>
      <w:r w:rsidR="00CD76C8">
        <w:rPr>
          <w:rFonts w:ascii="Times New Roman" w:hAnsi="Times New Roman" w:cs="Times New Roman"/>
        </w:rPr>
        <w:t xml:space="preserve"> ; </w:t>
      </w:r>
      <w:r w:rsidRPr="00CD76C8">
        <w:rPr>
          <w:rFonts w:ascii="Times New Roman" w:hAnsi="Times New Roman" w:cs="Times New Roman"/>
        </w:rPr>
        <w:t>Maria Jesus</w:t>
      </w:r>
      <w:r w:rsidR="00CD76C8">
        <w:rPr>
          <w:rFonts w:ascii="Times New Roman" w:hAnsi="Times New Roman" w:cs="Times New Roman"/>
        </w:rPr>
        <w:t xml:space="preserve"> ; </w:t>
      </w:r>
      <w:r w:rsidRPr="00CD76C8">
        <w:rPr>
          <w:rFonts w:ascii="Times New Roman" w:hAnsi="Times New Roman" w:cs="Times New Roman"/>
        </w:rPr>
        <w:t>Guerrero Lebron</w:t>
      </w:r>
      <w:r w:rsidR="00CD76C8">
        <w:rPr>
          <w:rFonts w:ascii="Times New Roman" w:hAnsi="Times New Roman" w:cs="Times New Roman"/>
        </w:rPr>
        <w:t xml:space="preserve"> ; </w:t>
      </w:r>
      <w:r w:rsidRPr="00CD76C8">
        <w:rPr>
          <w:rFonts w:ascii="Times New Roman" w:hAnsi="Times New Roman" w:cs="Times New Roman"/>
        </w:rPr>
        <w:t>Grégory Laville de La Plaigne</w:t>
      </w:r>
      <w:r w:rsidR="00CD76C8">
        <w:rPr>
          <w:rFonts w:ascii="Times New Roman" w:hAnsi="Times New Roman" w:cs="Times New Roman"/>
        </w:rPr>
        <w:t xml:space="preserve"> ; </w:t>
      </w:r>
      <w:r w:rsidRPr="00CD76C8">
        <w:rPr>
          <w:rFonts w:ascii="Times New Roman" w:hAnsi="Times New Roman" w:cs="Times New Roman"/>
        </w:rPr>
        <w:t>Ioana Cristiou</w:t>
      </w:r>
      <w:r w:rsidR="00CD76C8">
        <w:rPr>
          <w:rFonts w:ascii="Times New Roman" w:hAnsi="Times New Roman" w:cs="Times New Roman"/>
        </w:rPr>
        <w:t xml:space="preserve"> ; </w:t>
      </w:r>
      <w:r w:rsidRPr="00CD76C8">
        <w:rPr>
          <w:rFonts w:ascii="Times New Roman" w:hAnsi="Times New Roman" w:cs="Times New Roman"/>
        </w:rPr>
        <w:t>Anne-Claire Dupays</w:t>
      </w:r>
      <w:r w:rsidR="00CD76C8">
        <w:rPr>
          <w:rFonts w:ascii="Times New Roman" w:hAnsi="Times New Roman" w:cs="Times New Roman"/>
        </w:rPr>
        <w:t xml:space="preserve"> ; </w:t>
      </w:r>
      <w:r w:rsidRPr="00CD76C8">
        <w:rPr>
          <w:rFonts w:ascii="Times New Roman" w:hAnsi="Times New Roman" w:cs="Times New Roman"/>
        </w:rPr>
        <w:t>Loïc Grard</w:t>
      </w:r>
      <w:r w:rsidR="00CD76C8">
        <w:rPr>
          <w:rFonts w:ascii="Times New Roman" w:hAnsi="Times New Roman" w:cs="Times New Roman"/>
        </w:rPr>
        <w:t xml:space="preserve"> ; </w:t>
      </w:r>
      <w:r w:rsidRPr="00CD76C8">
        <w:rPr>
          <w:rFonts w:ascii="Times New Roman" w:hAnsi="Times New Roman" w:cs="Times New Roman"/>
        </w:rPr>
        <w:t>Vinçent Correia</w:t>
      </w:r>
      <w:r w:rsidR="00CD76C8">
        <w:rPr>
          <w:rFonts w:ascii="Times New Roman" w:hAnsi="Times New Roman" w:cs="Times New Roman"/>
        </w:rPr>
        <w:t xml:space="preserve"> ; </w:t>
      </w:r>
      <w:r w:rsidRPr="00CD76C8">
        <w:rPr>
          <w:rFonts w:ascii="Times New Roman" w:hAnsi="Times New Roman" w:cs="Times New Roman"/>
        </w:rPr>
        <w:t>Romain Broner</w:t>
      </w:r>
      <w:r w:rsidR="00CD76C8">
        <w:rPr>
          <w:rFonts w:ascii="Times New Roman" w:hAnsi="Times New Roman" w:cs="Times New Roman"/>
        </w:rPr>
        <w:t xml:space="preserve"> ; </w:t>
      </w:r>
      <w:r w:rsidR="00CD76C8" w:rsidRPr="00CD76C8">
        <w:rPr>
          <w:rFonts w:ascii="Times New Roman" w:hAnsi="Times New Roman" w:cs="Times New Roman"/>
        </w:rPr>
        <w:t>Olivier van Bauwel</w:t>
      </w:r>
      <w:r w:rsidR="00CD76C8">
        <w:rPr>
          <w:rFonts w:ascii="Times New Roman" w:hAnsi="Times New Roman" w:cs="Times New Roman"/>
        </w:rPr>
        <w:t xml:space="preserve"> ; </w:t>
      </w:r>
      <w:r w:rsidR="00CD76C8" w:rsidRPr="00CD76C8">
        <w:rPr>
          <w:rFonts w:ascii="Times New Roman" w:hAnsi="Times New Roman" w:cs="Times New Roman"/>
        </w:rPr>
        <w:t>Grégoire Mahaux</w:t>
      </w:r>
      <w:r w:rsidR="00CD76C8">
        <w:rPr>
          <w:rFonts w:ascii="Times New Roman" w:hAnsi="Times New Roman" w:cs="Times New Roman"/>
        </w:rPr>
        <w:t xml:space="preserve"> ; </w:t>
      </w:r>
      <w:r w:rsidR="00CD76C8" w:rsidRPr="00CD76C8">
        <w:rPr>
          <w:rFonts w:ascii="Times New Roman" w:hAnsi="Times New Roman" w:cs="Times New Roman"/>
        </w:rPr>
        <w:t>Armand de Mestral</w:t>
      </w:r>
      <w:r w:rsidR="00CD76C8">
        <w:rPr>
          <w:rFonts w:ascii="Times New Roman" w:hAnsi="Times New Roman" w:cs="Times New Roman"/>
        </w:rPr>
        <w:t xml:space="preserve"> ; </w:t>
      </w:r>
      <w:r w:rsidR="00CD76C8" w:rsidRPr="00CD76C8">
        <w:rPr>
          <w:rFonts w:ascii="Times New Roman" w:hAnsi="Times New Roman" w:cs="Times New Roman"/>
        </w:rPr>
        <w:t>Julius Dunton</w:t>
      </w:r>
      <w:r w:rsidR="00CD76C8">
        <w:rPr>
          <w:rFonts w:ascii="Times New Roman" w:hAnsi="Times New Roman" w:cs="Times New Roman"/>
        </w:rPr>
        <w:t xml:space="preserve"> ; </w:t>
      </w:r>
      <w:r w:rsidR="00CD76C8" w:rsidRPr="00CD76C8">
        <w:rPr>
          <w:rFonts w:ascii="Times New Roman" w:hAnsi="Times New Roman" w:cs="Times New Roman"/>
        </w:rPr>
        <w:t>Marie-Claude Rigaud</w:t>
      </w:r>
      <w:r w:rsidR="00CD76C8">
        <w:rPr>
          <w:rFonts w:ascii="Times New Roman" w:hAnsi="Times New Roman" w:cs="Times New Roman"/>
        </w:rPr>
        <w:t xml:space="preserve"> ; </w:t>
      </w:r>
      <w:r w:rsidR="00CD76C8" w:rsidRPr="00CD76C8">
        <w:rPr>
          <w:rFonts w:ascii="Times New Roman" w:hAnsi="Times New Roman" w:cs="Times New Roman"/>
        </w:rPr>
        <w:t>Mathieu Vaugeois</w:t>
      </w:r>
      <w:r w:rsidR="0000780F">
        <w:rPr>
          <w:rFonts w:ascii="Times New Roman" w:hAnsi="Times New Roman" w:cs="Times New Roman"/>
        </w:rPr>
        <w:t> ; Pablo Mendes de Leon.</w:t>
      </w:r>
    </w:p>
    <w:p w:rsidR="00CD76C8" w:rsidRDefault="00CD76C8" w:rsidP="00CD76C8">
      <w:pPr>
        <w:spacing w:after="0" w:line="240" w:lineRule="auto"/>
        <w:jc w:val="both"/>
        <w:rPr>
          <w:rFonts w:ascii="Times New Roman" w:hAnsi="Times New Roman" w:cs="Times New Roman"/>
          <w:b/>
        </w:rPr>
      </w:pPr>
    </w:p>
    <w:p w:rsidR="00CD76C8" w:rsidRPr="004C6E03" w:rsidRDefault="00CD76C8" w:rsidP="00CD76C8">
      <w:pPr>
        <w:spacing w:after="0" w:line="240" w:lineRule="auto"/>
        <w:jc w:val="both"/>
        <w:rPr>
          <w:rFonts w:ascii="Times New Roman" w:hAnsi="Times New Roman" w:cs="Times New Roman"/>
          <w:b/>
        </w:rPr>
      </w:pPr>
    </w:p>
    <w:p w:rsidR="00CD76C8" w:rsidRPr="004C6E03" w:rsidRDefault="00CD76C8" w:rsidP="00CD76C8">
      <w:pPr>
        <w:spacing w:after="0" w:line="240" w:lineRule="auto"/>
        <w:jc w:val="both"/>
        <w:rPr>
          <w:rFonts w:ascii="Times New Roman" w:hAnsi="Times New Roman" w:cs="Times New Roman"/>
          <w:b/>
        </w:rPr>
      </w:pPr>
    </w:p>
    <w:p w:rsidR="00474EEF" w:rsidRDefault="00474EEF" w:rsidP="00474EEF">
      <w:pPr>
        <w:spacing w:after="0" w:line="240" w:lineRule="auto"/>
        <w:jc w:val="both"/>
        <w:rPr>
          <w:rFonts w:ascii="Times New Roman" w:hAnsi="Times New Roman" w:cs="Times New Roman"/>
        </w:rPr>
      </w:pPr>
    </w:p>
    <w:p w:rsidR="00474EEF" w:rsidRPr="00BD4E9D" w:rsidRDefault="00474EEF" w:rsidP="00474EEF">
      <w:pPr>
        <w:spacing w:after="0" w:line="240" w:lineRule="auto"/>
        <w:jc w:val="both"/>
        <w:rPr>
          <w:rFonts w:ascii="Times New Roman" w:hAnsi="Times New Roman" w:cs="Times New Roman"/>
          <w:b/>
        </w:rPr>
      </w:pPr>
    </w:p>
    <w:p w:rsidR="00474EEF" w:rsidRDefault="00474EEF">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742E8"/>
    <w:multiLevelType w:val="hybridMultilevel"/>
    <w:tmpl w:val="B57AC126"/>
    <w:lvl w:ilvl="0" w:tplc="3176E01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F6"/>
    <w:rsid w:val="0000780F"/>
    <w:rsid w:val="00076626"/>
    <w:rsid w:val="00097F87"/>
    <w:rsid w:val="000A111D"/>
    <w:rsid w:val="000B3F06"/>
    <w:rsid w:val="000C248B"/>
    <w:rsid w:val="000E4883"/>
    <w:rsid w:val="00107938"/>
    <w:rsid w:val="001122E1"/>
    <w:rsid w:val="00112A82"/>
    <w:rsid w:val="00115F05"/>
    <w:rsid w:val="00131803"/>
    <w:rsid w:val="001359E5"/>
    <w:rsid w:val="00147B98"/>
    <w:rsid w:val="001548A8"/>
    <w:rsid w:val="00164AA2"/>
    <w:rsid w:val="0017567C"/>
    <w:rsid w:val="00183A5B"/>
    <w:rsid w:val="001B7AFB"/>
    <w:rsid w:val="001C26DA"/>
    <w:rsid w:val="001D35F7"/>
    <w:rsid w:val="001F2357"/>
    <w:rsid w:val="00207FC3"/>
    <w:rsid w:val="002127C5"/>
    <w:rsid w:val="00286ED3"/>
    <w:rsid w:val="002C1A1B"/>
    <w:rsid w:val="002D548E"/>
    <w:rsid w:val="002F1D28"/>
    <w:rsid w:val="002F28BC"/>
    <w:rsid w:val="00313492"/>
    <w:rsid w:val="00317FD1"/>
    <w:rsid w:val="003203D7"/>
    <w:rsid w:val="00341976"/>
    <w:rsid w:val="0035727A"/>
    <w:rsid w:val="0036388A"/>
    <w:rsid w:val="0039333F"/>
    <w:rsid w:val="0039726B"/>
    <w:rsid w:val="003A0258"/>
    <w:rsid w:val="003C23DD"/>
    <w:rsid w:val="003F2226"/>
    <w:rsid w:val="003F6F06"/>
    <w:rsid w:val="00402072"/>
    <w:rsid w:val="00432699"/>
    <w:rsid w:val="00452591"/>
    <w:rsid w:val="0046710A"/>
    <w:rsid w:val="00474EEF"/>
    <w:rsid w:val="00484352"/>
    <w:rsid w:val="00492104"/>
    <w:rsid w:val="00495F56"/>
    <w:rsid w:val="004C4AF4"/>
    <w:rsid w:val="004C6E03"/>
    <w:rsid w:val="004F6C78"/>
    <w:rsid w:val="004F76A5"/>
    <w:rsid w:val="00535FBA"/>
    <w:rsid w:val="005455BA"/>
    <w:rsid w:val="00546509"/>
    <w:rsid w:val="00554DF8"/>
    <w:rsid w:val="005B2307"/>
    <w:rsid w:val="005B77A9"/>
    <w:rsid w:val="005F41FF"/>
    <w:rsid w:val="00602B7F"/>
    <w:rsid w:val="00607F0A"/>
    <w:rsid w:val="00644CFC"/>
    <w:rsid w:val="00654DC1"/>
    <w:rsid w:val="00655108"/>
    <w:rsid w:val="00667449"/>
    <w:rsid w:val="006801E9"/>
    <w:rsid w:val="006972CF"/>
    <w:rsid w:val="006A4C20"/>
    <w:rsid w:val="00711DD7"/>
    <w:rsid w:val="00716134"/>
    <w:rsid w:val="00717727"/>
    <w:rsid w:val="0072538B"/>
    <w:rsid w:val="00734485"/>
    <w:rsid w:val="007353A3"/>
    <w:rsid w:val="00740A86"/>
    <w:rsid w:val="0075576E"/>
    <w:rsid w:val="00766AEA"/>
    <w:rsid w:val="007725A2"/>
    <w:rsid w:val="007E35C1"/>
    <w:rsid w:val="007F77C0"/>
    <w:rsid w:val="00802DB6"/>
    <w:rsid w:val="00804F30"/>
    <w:rsid w:val="008214F3"/>
    <w:rsid w:val="00827319"/>
    <w:rsid w:val="00833E5B"/>
    <w:rsid w:val="0086395D"/>
    <w:rsid w:val="00882DEB"/>
    <w:rsid w:val="00891DDF"/>
    <w:rsid w:val="00896D41"/>
    <w:rsid w:val="008B4DB8"/>
    <w:rsid w:val="008E5165"/>
    <w:rsid w:val="00911BF1"/>
    <w:rsid w:val="00915012"/>
    <w:rsid w:val="00970484"/>
    <w:rsid w:val="009A0524"/>
    <w:rsid w:val="009A6AFA"/>
    <w:rsid w:val="009D296C"/>
    <w:rsid w:val="00A504F6"/>
    <w:rsid w:val="00A77850"/>
    <w:rsid w:val="00A82F6C"/>
    <w:rsid w:val="00AD1619"/>
    <w:rsid w:val="00B118FD"/>
    <w:rsid w:val="00B12966"/>
    <w:rsid w:val="00B141A7"/>
    <w:rsid w:val="00B23759"/>
    <w:rsid w:val="00B34009"/>
    <w:rsid w:val="00B35B7C"/>
    <w:rsid w:val="00B55C8A"/>
    <w:rsid w:val="00B646B9"/>
    <w:rsid w:val="00B6720E"/>
    <w:rsid w:val="00B847D4"/>
    <w:rsid w:val="00BB1799"/>
    <w:rsid w:val="00BB407B"/>
    <w:rsid w:val="00BD4E9D"/>
    <w:rsid w:val="00C041A6"/>
    <w:rsid w:val="00C50D9D"/>
    <w:rsid w:val="00C631A2"/>
    <w:rsid w:val="00C66FCE"/>
    <w:rsid w:val="00C74D2A"/>
    <w:rsid w:val="00C8257E"/>
    <w:rsid w:val="00CA728E"/>
    <w:rsid w:val="00CB3178"/>
    <w:rsid w:val="00CC2231"/>
    <w:rsid w:val="00CC37BB"/>
    <w:rsid w:val="00CD220D"/>
    <w:rsid w:val="00CD76C8"/>
    <w:rsid w:val="00D5004C"/>
    <w:rsid w:val="00D647D8"/>
    <w:rsid w:val="00D7271F"/>
    <w:rsid w:val="00D94FE2"/>
    <w:rsid w:val="00DA2F31"/>
    <w:rsid w:val="00DA625D"/>
    <w:rsid w:val="00DB05CC"/>
    <w:rsid w:val="00DE18FA"/>
    <w:rsid w:val="00DF5A34"/>
    <w:rsid w:val="00E06EB7"/>
    <w:rsid w:val="00E25DD5"/>
    <w:rsid w:val="00E3321B"/>
    <w:rsid w:val="00E3741F"/>
    <w:rsid w:val="00E51F7D"/>
    <w:rsid w:val="00E54AA7"/>
    <w:rsid w:val="00E55E46"/>
    <w:rsid w:val="00E56363"/>
    <w:rsid w:val="00E77F3C"/>
    <w:rsid w:val="00EA464E"/>
    <w:rsid w:val="00EC3687"/>
    <w:rsid w:val="00EE1227"/>
    <w:rsid w:val="00EF1A53"/>
    <w:rsid w:val="00F2295A"/>
    <w:rsid w:val="00F230BA"/>
    <w:rsid w:val="00F274A0"/>
    <w:rsid w:val="00F30A56"/>
    <w:rsid w:val="00F4349E"/>
    <w:rsid w:val="00F676FC"/>
    <w:rsid w:val="00F67C4A"/>
    <w:rsid w:val="00F8189D"/>
    <w:rsid w:val="00F86111"/>
    <w:rsid w:val="00FA4B49"/>
    <w:rsid w:val="00FB7D4A"/>
    <w:rsid w:val="00FF3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FCAD2-D947-4F03-AB5B-B253E2E2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91D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1DDF"/>
    <w:rPr>
      <w:sz w:val="20"/>
      <w:szCs w:val="20"/>
    </w:rPr>
  </w:style>
  <w:style w:type="character" w:styleId="Appelnotedebasdep">
    <w:name w:val="footnote reference"/>
    <w:basedOn w:val="Policepardfaut"/>
    <w:uiPriority w:val="99"/>
    <w:semiHidden/>
    <w:unhideWhenUsed/>
    <w:rsid w:val="00891DDF"/>
    <w:rPr>
      <w:vertAlign w:val="superscript"/>
    </w:rPr>
  </w:style>
  <w:style w:type="paragraph" w:styleId="En-tte">
    <w:name w:val="header"/>
    <w:basedOn w:val="Normal"/>
    <w:link w:val="En-tteCar"/>
    <w:uiPriority w:val="99"/>
    <w:unhideWhenUsed/>
    <w:rsid w:val="00DF5A34"/>
    <w:pPr>
      <w:tabs>
        <w:tab w:val="center" w:pos="4536"/>
        <w:tab w:val="right" w:pos="9072"/>
      </w:tabs>
      <w:spacing w:after="0" w:line="240" w:lineRule="auto"/>
    </w:pPr>
  </w:style>
  <w:style w:type="character" w:customStyle="1" w:styleId="En-tteCar">
    <w:name w:val="En-tête Car"/>
    <w:basedOn w:val="Policepardfaut"/>
    <w:link w:val="En-tte"/>
    <w:uiPriority w:val="99"/>
    <w:rsid w:val="00DF5A34"/>
  </w:style>
  <w:style w:type="paragraph" w:styleId="Pieddepage">
    <w:name w:val="footer"/>
    <w:basedOn w:val="Normal"/>
    <w:link w:val="PieddepageCar"/>
    <w:uiPriority w:val="99"/>
    <w:unhideWhenUsed/>
    <w:rsid w:val="00DF5A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A34"/>
  </w:style>
  <w:style w:type="paragraph" w:styleId="Paragraphedeliste">
    <w:name w:val="List Paragraph"/>
    <w:basedOn w:val="Normal"/>
    <w:uiPriority w:val="34"/>
    <w:qFormat/>
    <w:rsid w:val="00DA2F31"/>
    <w:pPr>
      <w:ind w:left="720"/>
      <w:contextualSpacing/>
    </w:pPr>
  </w:style>
  <w:style w:type="paragraph" w:customStyle="1" w:styleId="typedudocumentcp">
    <w:name w:val="typedudocument_cp"/>
    <w:basedOn w:val="Normal"/>
    <w:rsid w:val="000A11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objetcp">
    <w:name w:val="titreobjet_cp"/>
    <w:basedOn w:val="Normal"/>
    <w:rsid w:val="000A11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ossreferencecp">
    <w:name w:val="crossreference_cp"/>
    <w:basedOn w:val="Normal"/>
    <w:rsid w:val="000A111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3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5B87-CA7A-42C6-A4F8-ECC12BA5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Claude Guibert</cp:lastModifiedBy>
  <cp:revision>2</cp:revision>
  <dcterms:created xsi:type="dcterms:W3CDTF">2018-03-20T14:03:00Z</dcterms:created>
  <dcterms:modified xsi:type="dcterms:W3CDTF">2018-03-20T14:03:00Z</dcterms:modified>
</cp:coreProperties>
</file>